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2C" w:rsidRDefault="00F06F2C" w:rsidP="00F06F2C">
      <w:pPr>
        <w:ind w:left="-1" w:firstLine="0"/>
      </w:pPr>
    </w:p>
    <w:p w:rsidR="00F06F2C" w:rsidRPr="00BE1793" w:rsidRDefault="00F06F2C" w:rsidP="00F06F2C">
      <w:pPr>
        <w:shd w:val="clear" w:color="auto" w:fill="F0F0A0"/>
        <w:ind w:left="-1" w:firstLine="0"/>
        <w:jc w:val="left"/>
        <w:rPr>
          <w:color w:val="0F0F5F"/>
          <w:lang w:val="es-ES"/>
        </w:rPr>
      </w:pPr>
      <w:r>
        <w:t xml:space="preserve">ASTRIA HEALTH CENTER </w:t>
      </w:r>
      <w:r w:rsidRPr="00BE1793">
        <w:rPr>
          <w:color w:val="0F0F5F"/>
          <w:lang w:val="es-ES"/>
        </w:rPr>
        <w:t>- POLÍTICA</w:t>
      </w:r>
    </w:p>
    <w:p w:rsidR="00F06F2C" w:rsidRDefault="00F06F2C" w:rsidP="00F06F2C">
      <w:pPr>
        <w:spacing w:line="247" w:lineRule="auto"/>
        <w:ind w:left="4" w:right="5558" w:hanging="5"/>
        <w:jc w:val="left"/>
        <w:rPr>
          <w:lang w:val="es-ES"/>
        </w:rPr>
      </w:pPr>
      <w:r w:rsidRPr="00BE1793">
        <w:rPr>
          <w:lang w:val="es-ES"/>
        </w:rPr>
        <w:t xml:space="preserve">TEMA: </w:t>
      </w:r>
      <w:r>
        <w:rPr>
          <w:lang w:val="es-ES"/>
        </w:rPr>
        <w:t>Programa de</w:t>
      </w:r>
      <w:r w:rsidRPr="00E74116">
        <w:rPr>
          <w:lang w:val="es-ES"/>
        </w:rPr>
        <w:t xml:space="preserve"> Descuento de Tarifas Variables</w:t>
      </w:r>
    </w:p>
    <w:p w:rsidR="00F06F2C" w:rsidRPr="00BE1793" w:rsidRDefault="00F06F2C" w:rsidP="00F06F2C">
      <w:pPr>
        <w:spacing w:line="247" w:lineRule="auto"/>
        <w:ind w:left="4" w:right="5558" w:hanging="5"/>
        <w:jc w:val="left"/>
        <w:rPr>
          <w:lang w:val="es-ES"/>
        </w:rPr>
      </w:pPr>
      <w:r>
        <w:rPr>
          <w:lang w:val="es-ES"/>
        </w:rPr>
        <w:t>F</w:t>
      </w:r>
      <w:r w:rsidRPr="00BE1793">
        <w:rPr>
          <w:lang w:val="es-ES"/>
        </w:rPr>
        <w:t>ECHA DE VIGENCIA: 01 de enero de 2019</w:t>
      </w:r>
    </w:p>
    <w:p w:rsidR="00F06F2C" w:rsidRPr="00BE1793" w:rsidRDefault="00F06F2C" w:rsidP="00F06F2C">
      <w:pPr>
        <w:spacing w:after="0" w:line="256" w:lineRule="auto"/>
        <w:ind w:left="14" w:hanging="10"/>
        <w:jc w:val="left"/>
      </w:pPr>
      <w:r w:rsidRPr="00BE1793">
        <w:rPr>
          <w:sz w:val="24"/>
          <w:szCs w:val="24"/>
          <w:lang w:val="es-ES"/>
        </w:rPr>
        <w:t>ACTUALIZADO: 02 de febrero de 2019</w:t>
      </w:r>
    </w:p>
    <w:p w:rsidR="00F06F2C" w:rsidRPr="00BE1793" w:rsidRDefault="00F06F2C" w:rsidP="00F06F2C">
      <w:pPr>
        <w:spacing w:after="240" w:line="256" w:lineRule="auto"/>
        <w:ind w:left="14" w:hanging="10"/>
        <w:jc w:val="left"/>
      </w:pPr>
      <w:r w:rsidRPr="00BE1793">
        <w:rPr>
          <w:sz w:val="24"/>
          <w:szCs w:val="24"/>
          <w:lang w:val="es-ES"/>
        </w:rPr>
        <w:t xml:space="preserve">POLÍTICA: </w:t>
      </w:r>
      <w:r>
        <w:rPr>
          <w:sz w:val="24"/>
          <w:szCs w:val="24"/>
          <w:lang w:val="es-ES"/>
        </w:rPr>
        <w:t>P</w:t>
      </w:r>
      <w:r w:rsidRPr="00BE1793">
        <w:rPr>
          <w:sz w:val="24"/>
          <w:szCs w:val="24"/>
          <w:lang w:val="es-ES"/>
        </w:rPr>
        <w:t>olítica</w:t>
      </w:r>
      <w:r>
        <w:rPr>
          <w:sz w:val="24"/>
          <w:szCs w:val="24"/>
          <w:lang w:val="es-ES"/>
        </w:rPr>
        <w:t xml:space="preserve"> del Programa de </w:t>
      </w:r>
      <w:r w:rsidRPr="00E74116">
        <w:rPr>
          <w:sz w:val="24"/>
          <w:szCs w:val="24"/>
          <w:lang w:val="es-ES"/>
        </w:rPr>
        <w:t>Descuento de Tarifas Variables</w:t>
      </w:r>
    </w:p>
    <w:p w:rsidR="00F06F2C" w:rsidRPr="00BE1793" w:rsidRDefault="00F06F2C" w:rsidP="00F06F2C">
      <w:pPr>
        <w:spacing w:after="0" w:line="256" w:lineRule="auto"/>
        <w:ind w:left="14" w:hanging="10"/>
        <w:jc w:val="left"/>
      </w:pPr>
      <w:r w:rsidRPr="00BE1793">
        <w:rPr>
          <w:sz w:val="24"/>
          <w:szCs w:val="24"/>
          <w:lang w:val="es-ES"/>
        </w:rPr>
        <w:t>PROPÓSITO:</w:t>
      </w:r>
    </w:p>
    <w:p w:rsidR="00F06F2C" w:rsidRPr="00BE1793" w:rsidRDefault="00F06F2C" w:rsidP="00F06F2C">
      <w:pPr>
        <w:spacing w:line="247" w:lineRule="auto"/>
        <w:ind w:left="-1" w:right="125" w:firstLine="0"/>
        <w:jc w:val="left"/>
      </w:pPr>
      <w:r w:rsidRPr="00BE1793">
        <w:rPr>
          <w:lang w:val="es-ES"/>
        </w:rPr>
        <w:t xml:space="preserve">Este programa está diseñado para proporcionar una atención gratuita o con descuento a aquellos que no tienen medios, o medios limitados, </w:t>
      </w:r>
      <w:r>
        <w:rPr>
          <w:lang w:val="es-ES"/>
        </w:rPr>
        <w:t>para</w:t>
      </w:r>
      <w:r w:rsidRPr="00BE1793">
        <w:rPr>
          <w:lang w:val="es-ES"/>
        </w:rPr>
        <w:t xml:space="preserve"> pagar por sus servicios médicos (</w:t>
      </w:r>
      <w:r>
        <w:rPr>
          <w:lang w:val="es-ES"/>
        </w:rPr>
        <w:t xml:space="preserve">sin </w:t>
      </w:r>
      <w:r w:rsidRPr="00BE1793">
        <w:rPr>
          <w:lang w:val="es-ES"/>
        </w:rPr>
        <w:t xml:space="preserve">seguro o </w:t>
      </w:r>
      <w:r>
        <w:rPr>
          <w:lang w:val="es-ES"/>
        </w:rPr>
        <w:t>bajo segur</w:t>
      </w:r>
      <w:r w:rsidRPr="00BE1793">
        <w:rPr>
          <w:lang w:val="es-ES"/>
        </w:rPr>
        <w:t xml:space="preserve">o). Además de atención médica de calidad, los pacientes tienen derecho a asesoría financiera por parte de alguien que puede entender y ofrecer posibles soluciones para aquellos que no pueden pagar </w:t>
      </w:r>
      <w:r>
        <w:rPr>
          <w:lang w:val="es-ES"/>
        </w:rPr>
        <w:t xml:space="preserve">la </w:t>
      </w:r>
      <w:r w:rsidRPr="00BE1793">
        <w:rPr>
          <w:lang w:val="es-ES"/>
        </w:rPr>
        <w:t>totalidad</w:t>
      </w:r>
      <w:r>
        <w:rPr>
          <w:lang w:val="es-ES"/>
        </w:rPr>
        <w:t xml:space="preserve"> de los costos</w:t>
      </w:r>
      <w:r w:rsidRPr="00BE1793">
        <w:rPr>
          <w:lang w:val="es-ES"/>
        </w:rPr>
        <w:t>. El</w:t>
      </w:r>
      <w:r>
        <w:rPr>
          <w:lang w:val="es-ES"/>
        </w:rPr>
        <w:t xml:space="preserve"> papel del</w:t>
      </w:r>
      <w:r w:rsidRPr="00BE1793">
        <w:rPr>
          <w:lang w:val="es-ES"/>
        </w:rPr>
        <w:t xml:space="preserve"> representante </w:t>
      </w:r>
      <w:r>
        <w:rPr>
          <w:lang w:val="es-ES"/>
        </w:rPr>
        <w:t>de</w:t>
      </w:r>
      <w:r w:rsidRPr="00BE1793">
        <w:rPr>
          <w:lang w:val="es-ES"/>
        </w:rPr>
        <w:t xml:space="preserve"> </w:t>
      </w:r>
      <w:r>
        <w:rPr>
          <w:lang w:val="es-ES"/>
        </w:rPr>
        <w:t xml:space="preserve">la </w:t>
      </w:r>
      <w:r w:rsidRPr="00BE1793">
        <w:rPr>
          <w:lang w:val="es-ES"/>
        </w:rPr>
        <w:t xml:space="preserve">cuenta </w:t>
      </w:r>
      <w:r>
        <w:rPr>
          <w:lang w:val="es-ES"/>
        </w:rPr>
        <w:t xml:space="preserve">del </w:t>
      </w:r>
      <w:r w:rsidRPr="00BE1793">
        <w:rPr>
          <w:lang w:val="es-ES"/>
        </w:rPr>
        <w:t>paciente e</w:t>
      </w:r>
      <w:r>
        <w:rPr>
          <w:lang w:val="es-ES"/>
        </w:rPr>
        <w:t xml:space="preserve">s de defender </w:t>
      </w:r>
      <w:r w:rsidRPr="00BE1793">
        <w:rPr>
          <w:lang w:val="es-ES"/>
        </w:rPr>
        <w:t>el paciente, es decir, uno que trabaja con el paciente y/o el garante para encontrar alternativas de pago razonable.</w:t>
      </w:r>
    </w:p>
    <w:p w:rsidR="00F06F2C" w:rsidRPr="00BE1793" w:rsidRDefault="00F06F2C" w:rsidP="00F06F2C">
      <w:pPr>
        <w:spacing w:after="286" w:line="237" w:lineRule="auto"/>
        <w:ind w:left="0" w:right="19" w:firstLine="5"/>
        <w:jc w:val="left"/>
      </w:pPr>
      <w:r>
        <w:t>Astría Health Centers</w:t>
      </w:r>
      <w:r w:rsidRPr="00BE1793">
        <w:rPr>
          <w:lang w:val="es-ES"/>
        </w:rPr>
        <w:t xml:space="preserve"> ofrecen un programa de descuento </w:t>
      </w:r>
      <w:r w:rsidRPr="00450CB0">
        <w:rPr>
          <w:lang w:val="es-ES"/>
        </w:rPr>
        <w:t xml:space="preserve">de </w:t>
      </w:r>
      <w:r>
        <w:rPr>
          <w:lang w:val="es-ES"/>
        </w:rPr>
        <w:t>t</w:t>
      </w:r>
      <w:r w:rsidRPr="00450CB0">
        <w:rPr>
          <w:lang w:val="es-ES"/>
        </w:rPr>
        <w:t xml:space="preserve">arifas </w:t>
      </w:r>
      <w:r>
        <w:rPr>
          <w:lang w:val="es-ES"/>
        </w:rPr>
        <w:t>v</w:t>
      </w:r>
      <w:r w:rsidRPr="00450CB0">
        <w:rPr>
          <w:lang w:val="es-ES"/>
        </w:rPr>
        <w:t xml:space="preserve">ariables </w:t>
      </w:r>
      <w:r w:rsidRPr="00BE1793">
        <w:rPr>
          <w:lang w:val="es-ES"/>
        </w:rPr>
        <w:t xml:space="preserve">a todos los que no pueden pagar por sus servicios. </w:t>
      </w:r>
      <w:r>
        <w:t xml:space="preserve">Astría Health Centers </w:t>
      </w:r>
      <w:r w:rsidRPr="00BE1793">
        <w:rPr>
          <w:lang w:val="es-ES"/>
        </w:rPr>
        <w:t>bas</w:t>
      </w:r>
      <w:r>
        <w:rPr>
          <w:lang w:val="es-ES"/>
        </w:rPr>
        <w:t>arán la</w:t>
      </w:r>
      <w:r w:rsidRPr="00BE1793">
        <w:rPr>
          <w:lang w:val="es-ES"/>
        </w:rPr>
        <w:t xml:space="preserve"> elegibilidad para el programa </w:t>
      </w:r>
      <w:r>
        <w:rPr>
          <w:lang w:val="es-ES"/>
        </w:rPr>
        <w:t>sobr</w:t>
      </w:r>
      <w:r w:rsidRPr="00BE1793">
        <w:rPr>
          <w:lang w:val="es-ES"/>
        </w:rPr>
        <w:t>e</w:t>
      </w:r>
      <w:r>
        <w:rPr>
          <w:lang w:val="es-ES"/>
        </w:rPr>
        <w:t xml:space="preserve"> la </w:t>
      </w:r>
      <w:r w:rsidRPr="00BE1793">
        <w:rPr>
          <w:lang w:val="es-ES"/>
        </w:rPr>
        <w:t>capacidad</w:t>
      </w:r>
      <w:r>
        <w:rPr>
          <w:lang w:val="es-ES"/>
        </w:rPr>
        <w:t xml:space="preserve"> de la persona</w:t>
      </w:r>
      <w:r w:rsidRPr="00BE1793">
        <w:rPr>
          <w:lang w:val="es-ES"/>
        </w:rPr>
        <w:t xml:space="preserve"> para pagar</w:t>
      </w:r>
      <w:r>
        <w:rPr>
          <w:lang w:val="es-ES"/>
        </w:rPr>
        <w:t xml:space="preserve"> </w:t>
      </w:r>
      <w:r w:rsidRPr="00BE1793">
        <w:rPr>
          <w:lang w:val="es-ES"/>
        </w:rPr>
        <w:t>y no discrimina</w:t>
      </w:r>
      <w:r>
        <w:rPr>
          <w:lang w:val="es-ES"/>
        </w:rPr>
        <w:t xml:space="preserve">rán </w:t>
      </w:r>
      <w:r w:rsidRPr="00BE1793">
        <w:rPr>
          <w:lang w:val="es-ES"/>
        </w:rPr>
        <w:t>por razón de edad, género, raza, orientación sexual, credo, religión, discap</w:t>
      </w:r>
      <w:r>
        <w:rPr>
          <w:lang w:val="es-ES"/>
        </w:rPr>
        <w:t>acidad u origen nacional. Las pa</w:t>
      </w:r>
      <w:r w:rsidRPr="00BE1793">
        <w:rPr>
          <w:lang w:val="es-ES"/>
        </w:rPr>
        <w:t xml:space="preserve">utas federales de pobreza, </w:t>
      </w:r>
      <w:r w:rsidRPr="00BE1793">
        <w:rPr>
          <w:u w:val="single"/>
          <w:lang w:val="es-ES"/>
        </w:rPr>
        <w:t>http://aspe.hhs.gov/povertv</w:t>
      </w:r>
      <w:r w:rsidRPr="00BE1793">
        <w:rPr>
          <w:lang w:val="es-ES"/>
        </w:rPr>
        <w:t>, se utilizan en crear y actualizar anualmente el arancel deslizante (SFS) para determinar la elegibilidad.</w:t>
      </w:r>
    </w:p>
    <w:p w:rsidR="00F06F2C" w:rsidRDefault="00F06F2C" w:rsidP="00F06F2C">
      <w:pPr>
        <w:spacing w:line="247" w:lineRule="auto"/>
        <w:ind w:left="-1" w:firstLine="0"/>
        <w:jc w:val="left"/>
        <w:rPr>
          <w:lang w:val="es-ES"/>
        </w:rPr>
      </w:pPr>
      <w:r w:rsidRPr="00BE1793">
        <w:rPr>
          <w:lang w:val="es-ES"/>
        </w:rPr>
        <w:t xml:space="preserve">PROCEDIMIENTO: Las siguientes pautas deben seguirse </w:t>
      </w:r>
      <w:r>
        <w:rPr>
          <w:lang w:val="es-ES"/>
        </w:rPr>
        <w:t xml:space="preserve">para participar en el </w:t>
      </w:r>
      <w:r w:rsidRPr="00BE1793">
        <w:rPr>
          <w:lang w:val="es-ES"/>
        </w:rPr>
        <w:t xml:space="preserve">programa </w:t>
      </w:r>
      <w:r>
        <w:rPr>
          <w:lang w:val="es-ES"/>
        </w:rPr>
        <w:t>de D</w:t>
      </w:r>
      <w:r w:rsidRPr="00BE1793">
        <w:rPr>
          <w:lang w:val="es-ES"/>
        </w:rPr>
        <w:t>e</w:t>
      </w:r>
      <w:r>
        <w:rPr>
          <w:lang w:val="es-ES"/>
        </w:rPr>
        <w:t>scuento de Tarifas Variables.</w:t>
      </w:r>
    </w:p>
    <w:p w:rsidR="00F06F2C" w:rsidRPr="00BE1793" w:rsidRDefault="00F06F2C" w:rsidP="00F06F2C">
      <w:pPr>
        <w:spacing w:after="294" w:line="247" w:lineRule="auto"/>
        <w:ind w:left="720" w:hanging="355"/>
        <w:jc w:val="left"/>
      </w:pPr>
      <w:r w:rsidRPr="00BE1793">
        <w:rPr>
          <w:sz w:val="24"/>
          <w:szCs w:val="24"/>
          <w:lang w:val="es-ES"/>
        </w:rPr>
        <w:t>1.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 xml:space="preserve">Notificación: </w:t>
      </w:r>
      <w:r>
        <w:t xml:space="preserve">Astría Health Centers </w:t>
      </w:r>
      <w:r w:rsidRPr="00BE1793">
        <w:rPr>
          <w:lang w:val="es-ES"/>
        </w:rPr>
        <w:t>notificará</w:t>
      </w:r>
      <w:r>
        <w:rPr>
          <w:lang w:val="es-ES"/>
        </w:rPr>
        <w:t>n</w:t>
      </w:r>
      <w:r w:rsidRPr="00BE1793">
        <w:rPr>
          <w:lang w:val="es-ES"/>
        </w:rPr>
        <w:t xml:space="preserve"> a</w:t>
      </w:r>
      <w:r>
        <w:rPr>
          <w:lang w:val="es-ES"/>
        </w:rPr>
        <w:t xml:space="preserve"> los</w:t>
      </w:r>
      <w:r w:rsidRPr="00BE1793">
        <w:rPr>
          <w:lang w:val="es-ES"/>
        </w:rPr>
        <w:t xml:space="preserve"> pacientes del </w:t>
      </w:r>
      <w:r>
        <w:rPr>
          <w:lang w:val="es-ES"/>
        </w:rPr>
        <w:t xml:space="preserve">programa de </w:t>
      </w:r>
      <w:r w:rsidRPr="0049369D">
        <w:rPr>
          <w:lang w:val="es-ES"/>
        </w:rPr>
        <w:t>Descuento de Tarifas Variables</w:t>
      </w:r>
      <w:r w:rsidRPr="00BE1793">
        <w:rPr>
          <w:lang w:val="es-ES"/>
        </w:rPr>
        <w:t xml:space="preserve">. </w:t>
      </w:r>
      <w:r>
        <w:rPr>
          <w:lang w:val="es-ES"/>
        </w:rPr>
        <w:t>Astría</w:t>
      </w:r>
      <w:r w:rsidRPr="00BE1793">
        <w:rPr>
          <w:lang w:val="es-ES"/>
        </w:rPr>
        <w:t xml:space="preserve"> </w:t>
      </w:r>
      <w:r>
        <w:rPr>
          <w:lang w:val="es-ES"/>
        </w:rPr>
        <w:t>Health Centers</w:t>
      </w:r>
      <w:r w:rsidRPr="00BE1793">
        <w:rPr>
          <w:lang w:val="es-ES"/>
        </w:rPr>
        <w:t xml:space="preserve"> colocará</w:t>
      </w:r>
      <w:r>
        <w:rPr>
          <w:lang w:val="es-ES"/>
        </w:rPr>
        <w:t>n</w:t>
      </w:r>
      <w:r w:rsidRPr="00BE1793">
        <w:rPr>
          <w:lang w:val="es-ES"/>
        </w:rPr>
        <w:t xml:space="preserve"> </w:t>
      </w:r>
      <w:r>
        <w:rPr>
          <w:lang w:val="es-ES"/>
        </w:rPr>
        <w:t xml:space="preserve">información </w:t>
      </w:r>
      <w:r w:rsidRPr="00BE1793">
        <w:rPr>
          <w:lang w:val="es-ES"/>
        </w:rPr>
        <w:t>del programa</w:t>
      </w:r>
      <w:r>
        <w:rPr>
          <w:lang w:val="es-ES"/>
        </w:rPr>
        <w:t xml:space="preserve"> de Descuento de T</w:t>
      </w:r>
      <w:r w:rsidRPr="00BE1793">
        <w:rPr>
          <w:lang w:val="es-ES"/>
        </w:rPr>
        <w:t>arifa</w:t>
      </w:r>
      <w:r>
        <w:rPr>
          <w:lang w:val="es-ES"/>
        </w:rPr>
        <w:t>s Variables en</w:t>
      </w:r>
      <w:r w:rsidRPr="00BE1793">
        <w:rPr>
          <w:lang w:val="es-ES"/>
        </w:rPr>
        <w:t xml:space="preserve"> la sala de espera </w:t>
      </w:r>
      <w:r>
        <w:rPr>
          <w:lang w:val="es-ES"/>
        </w:rPr>
        <w:t xml:space="preserve">en todas las </w:t>
      </w:r>
      <w:r w:rsidRPr="00BE1793">
        <w:rPr>
          <w:lang w:val="es-ES"/>
        </w:rPr>
        <w:t>instalaciones.</w:t>
      </w:r>
    </w:p>
    <w:p w:rsidR="00F06F2C" w:rsidRPr="00BE1793" w:rsidRDefault="00F06F2C" w:rsidP="00F06F2C">
      <w:pPr>
        <w:spacing w:after="258" w:line="247" w:lineRule="auto"/>
        <w:ind w:left="720" w:hanging="355"/>
        <w:jc w:val="left"/>
      </w:pPr>
      <w:r w:rsidRPr="00BE1793">
        <w:rPr>
          <w:sz w:val="24"/>
          <w:szCs w:val="24"/>
          <w:lang w:val="es-ES"/>
        </w:rPr>
        <w:t>2.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 xml:space="preserve">Todos los pacientes que buscan servicios de atención médica en cualquier </w:t>
      </w:r>
      <w:r>
        <w:rPr>
          <w:lang w:val="es-ES"/>
        </w:rPr>
        <w:t xml:space="preserve">de los </w:t>
      </w:r>
      <w:r>
        <w:t xml:space="preserve">Astría Health Centers </w:t>
      </w:r>
      <w:r w:rsidRPr="00BE1793">
        <w:rPr>
          <w:lang w:val="es-ES"/>
        </w:rPr>
        <w:t>se asegura</w:t>
      </w:r>
      <w:r>
        <w:rPr>
          <w:lang w:val="es-ES"/>
        </w:rPr>
        <w:t>n</w:t>
      </w:r>
      <w:r w:rsidRPr="00BE1793">
        <w:rPr>
          <w:lang w:val="es-ES"/>
        </w:rPr>
        <w:t xml:space="preserve"> que se </w:t>
      </w:r>
      <w:r>
        <w:rPr>
          <w:lang w:val="es-ES"/>
        </w:rPr>
        <w:t xml:space="preserve">le </w:t>
      </w:r>
      <w:r w:rsidRPr="00BE1793">
        <w:rPr>
          <w:lang w:val="es-ES"/>
        </w:rPr>
        <w:t xml:space="preserve">servirá independientemente de la capacidad de pago. Nadie </w:t>
      </w:r>
      <w:r>
        <w:rPr>
          <w:lang w:val="es-ES"/>
        </w:rPr>
        <w:t xml:space="preserve">será </w:t>
      </w:r>
      <w:r w:rsidRPr="00BE1793">
        <w:rPr>
          <w:lang w:val="es-ES"/>
        </w:rPr>
        <w:t>rechaza</w:t>
      </w:r>
      <w:r>
        <w:rPr>
          <w:lang w:val="es-ES"/>
        </w:rPr>
        <w:t>do</w:t>
      </w:r>
      <w:r w:rsidRPr="00BE1793">
        <w:rPr>
          <w:lang w:val="es-ES"/>
        </w:rPr>
        <w:t xml:space="preserve"> </w:t>
      </w:r>
      <w:r>
        <w:rPr>
          <w:lang w:val="es-ES"/>
        </w:rPr>
        <w:t xml:space="preserve">el </w:t>
      </w:r>
      <w:r w:rsidRPr="00BE1793">
        <w:rPr>
          <w:lang w:val="es-ES"/>
        </w:rPr>
        <w:t>servicio debido a la falta de medios financieros para pagar.</w:t>
      </w:r>
    </w:p>
    <w:p w:rsidR="00F06F2C" w:rsidRPr="00BE1793" w:rsidRDefault="00F06F2C" w:rsidP="00F06F2C">
      <w:pPr>
        <w:spacing w:after="286" w:line="237" w:lineRule="auto"/>
        <w:ind w:left="720" w:hanging="355"/>
        <w:jc w:val="left"/>
      </w:pPr>
      <w:r w:rsidRPr="00BE1793">
        <w:rPr>
          <w:sz w:val="24"/>
          <w:szCs w:val="24"/>
          <w:lang w:val="es-ES"/>
        </w:rPr>
        <w:t>3.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 xml:space="preserve">Solicitud de descuento: </w:t>
      </w:r>
      <w:r>
        <w:rPr>
          <w:lang w:val="es-ES"/>
        </w:rPr>
        <w:t>L</w:t>
      </w:r>
      <w:r w:rsidRPr="00BE1793">
        <w:rPr>
          <w:lang w:val="es-ES"/>
        </w:rPr>
        <w:t xml:space="preserve">as solicitudes de descuento </w:t>
      </w:r>
      <w:r>
        <w:rPr>
          <w:lang w:val="es-ES"/>
        </w:rPr>
        <w:t xml:space="preserve">de </w:t>
      </w:r>
      <w:r w:rsidRPr="00BE1793">
        <w:rPr>
          <w:lang w:val="es-ES"/>
        </w:rPr>
        <w:t xml:space="preserve">servicios pueden hacerse por pacientes, familiares, personal de servicios sociales u otros que son conscientes de las dificultades financieras existentes. </w:t>
      </w:r>
      <w:r>
        <w:rPr>
          <w:lang w:val="es-ES"/>
        </w:rPr>
        <w:t>El</w:t>
      </w:r>
      <w:r w:rsidRPr="00BE1793">
        <w:rPr>
          <w:lang w:val="es-ES"/>
        </w:rPr>
        <w:t xml:space="preserve"> programa</w:t>
      </w:r>
      <w:r>
        <w:rPr>
          <w:lang w:val="es-ES"/>
        </w:rPr>
        <w:t xml:space="preserve"> de </w:t>
      </w:r>
      <w:r w:rsidRPr="006713D1">
        <w:rPr>
          <w:lang w:val="es-ES"/>
        </w:rPr>
        <w:t>Descuento de Tarifas Variables</w:t>
      </w:r>
      <w:r w:rsidRPr="00BE1793">
        <w:rPr>
          <w:lang w:val="es-ES"/>
        </w:rPr>
        <w:t xml:space="preserve"> sólo estará disponible para visitas clínicas. Información y formularios pueden obtenerse</w:t>
      </w:r>
      <w:r>
        <w:rPr>
          <w:lang w:val="es-ES"/>
        </w:rPr>
        <w:t xml:space="preserve"> en</w:t>
      </w:r>
      <w:r w:rsidRPr="00BE1793">
        <w:rPr>
          <w:lang w:val="es-ES"/>
        </w:rPr>
        <w:t xml:space="preserve"> la recepción </w:t>
      </w:r>
      <w:r>
        <w:rPr>
          <w:lang w:val="es-ES"/>
        </w:rPr>
        <w:t>o</w:t>
      </w:r>
      <w:r w:rsidRPr="00BE1793">
        <w:rPr>
          <w:lang w:val="es-ES"/>
        </w:rPr>
        <w:t xml:space="preserve"> la oficina de negocios.</w:t>
      </w:r>
      <w:r w:rsidRPr="00BE1793">
        <w:rPr>
          <w:noProof/>
        </w:rPr>
        <mc:AlternateContent>
          <mc:Choice Requires="wps">
            <w:drawing>
              <wp:inline distT="0" distB="0" distL="0" distR="0" wp14:anchorId="75B0DF88" wp14:editId="1D7C5986">
                <wp:extent cx="9525" cy="9525"/>
                <wp:effectExtent l="0" t="0" r="0" b="0"/>
                <wp:docPr id="5" name="Rectangle 5" descr="https://www.translatoruser.net/bvsandbox.aspx?&amp;from=en&amp;to=es&amp;csId=8ffd7237-dc5d-40e4-b342-2a4733da4440&amp;usId=104f79dd-6c6d-4a79-9dc8-fee9745c828f&amp;ac=true&amp;bvrpx=false&amp;bvrpp=&amp;dt=2019%2F3%2F20%2018%3A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0D04B" id="Rectangle 5" o:spid="_x0000_s1026" alt="https://www.translatoruser.net/bvsandbox.aspx?&amp;from=en&amp;to=es&amp;csId=8ffd7237-dc5d-40e4-b342-2a4733da4440&amp;usId=104f79dd-6c6d-4a79-9dc8-fee9745c828f&amp;ac=true&amp;bvrpx=false&amp;bvrpp=&amp;dt=2019%2F3%2F20%2018%3A35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F06F2C" w:rsidRPr="00BE1793" w:rsidRDefault="00F06F2C" w:rsidP="00F06F2C">
      <w:pPr>
        <w:spacing w:after="286" w:line="237" w:lineRule="auto"/>
        <w:ind w:left="720" w:hanging="355"/>
        <w:jc w:val="left"/>
      </w:pPr>
      <w:r w:rsidRPr="00BE1793">
        <w:rPr>
          <w:sz w:val="24"/>
          <w:szCs w:val="24"/>
          <w:lang w:val="es-ES"/>
        </w:rPr>
        <w:t>4.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 xml:space="preserve">Administración: Se administrará el </w:t>
      </w:r>
      <w:r>
        <w:rPr>
          <w:lang w:val="es-ES"/>
        </w:rPr>
        <w:t>procedimiento d</w:t>
      </w:r>
      <w:r w:rsidRPr="00BE1793">
        <w:rPr>
          <w:lang w:val="es-ES"/>
        </w:rPr>
        <w:t xml:space="preserve">el programa </w:t>
      </w:r>
      <w:r>
        <w:rPr>
          <w:lang w:val="es-ES"/>
        </w:rPr>
        <w:t xml:space="preserve">de </w:t>
      </w:r>
      <w:r w:rsidRPr="006713D1">
        <w:rPr>
          <w:lang w:val="es-ES"/>
        </w:rPr>
        <w:t>Descuento de Tarifas Variables</w:t>
      </w:r>
      <w:r>
        <w:rPr>
          <w:lang w:val="es-ES"/>
        </w:rPr>
        <w:t xml:space="preserve"> </w:t>
      </w:r>
      <w:r w:rsidRPr="00BE1793">
        <w:rPr>
          <w:lang w:val="es-ES"/>
        </w:rPr>
        <w:t>a través de la Gerente de la oficina de negocios o su designado. Se proporcionará i</w:t>
      </w:r>
      <w:r>
        <w:rPr>
          <w:lang w:val="es-ES"/>
        </w:rPr>
        <w:t>nformación sobre la política de</w:t>
      </w:r>
      <w:r w:rsidRPr="00BE1793">
        <w:rPr>
          <w:lang w:val="es-ES"/>
        </w:rPr>
        <w:t xml:space="preserve">l programa de </w:t>
      </w:r>
      <w:r w:rsidRPr="006713D1">
        <w:rPr>
          <w:lang w:val="es-ES"/>
        </w:rPr>
        <w:t>Descuento de Tarifas Variables</w:t>
      </w:r>
      <w:r>
        <w:rPr>
          <w:lang w:val="es-ES"/>
        </w:rPr>
        <w:t xml:space="preserve"> </w:t>
      </w:r>
      <w:r w:rsidRPr="00BE1793">
        <w:rPr>
          <w:lang w:val="es-ES"/>
        </w:rPr>
        <w:t>y el procedimiento y ofrece</w:t>
      </w:r>
      <w:r>
        <w:rPr>
          <w:lang w:val="es-ES"/>
        </w:rPr>
        <w:t>rá</w:t>
      </w:r>
      <w:r w:rsidRPr="00BE1793">
        <w:rPr>
          <w:lang w:val="es-ES"/>
        </w:rPr>
        <w:t xml:space="preserve"> asistencia para </w:t>
      </w:r>
      <w:r>
        <w:rPr>
          <w:lang w:val="es-ES"/>
        </w:rPr>
        <w:t>llenar</w:t>
      </w:r>
      <w:r w:rsidRPr="00BE1793">
        <w:rPr>
          <w:lang w:val="es-ES"/>
        </w:rPr>
        <w:t xml:space="preserve"> la aplicación. </w:t>
      </w:r>
      <w:r>
        <w:rPr>
          <w:lang w:val="es-ES"/>
        </w:rPr>
        <w:t>La d</w:t>
      </w:r>
      <w:r w:rsidRPr="00BE1793">
        <w:rPr>
          <w:lang w:val="es-ES"/>
        </w:rPr>
        <w:t>ignidad y la confidencialidad se respetarán para todos los que buscan o reciben servicios caritativos.</w:t>
      </w:r>
    </w:p>
    <w:p w:rsidR="00F06F2C" w:rsidRPr="00BE1793" w:rsidRDefault="00F06F2C" w:rsidP="00F06F2C">
      <w:pPr>
        <w:spacing w:after="300" w:line="247" w:lineRule="auto"/>
        <w:ind w:left="720" w:hanging="355"/>
        <w:jc w:val="left"/>
      </w:pPr>
      <w:r w:rsidRPr="00BE1793">
        <w:rPr>
          <w:sz w:val="24"/>
          <w:szCs w:val="24"/>
          <w:lang w:val="es-ES"/>
        </w:rPr>
        <w:t>5.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 xml:space="preserve">Fuentes alternativas de pago: </w:t>
      </w:r>
      <w:r>
        <w:rPr>
          <w:lang w:val="es-ES"/>
        </w:rPr>
        <w:t>D</w:t>
      </w:r>
      <w:r w:rsidRPr="00BE1793">
        <w:rPr>
          <w:lang w:val="es-ES"/>
        </w:rPr>
        <w:t xml:space="preserve">eben </w:t>
      </w:r>
      <w:r>
        <w:rPr>
          <w:lang w:val="es-ES"/>
        </w:rPr>
        <w:t xml:space="preserve">ser </w:t>
      </w:r>
      <w:r w:rsidRPr="00BE1793">
        <w:rPr>
          <w:lang w:val="es-ES"/>
        </w:rPr>
        <w:t xml:space="preserve">agotados todos los recursos de pago alternativos, incluyendo </w:t>
      </w:r>
      <w:r w:rsidRPr="00BE1793">
        <w:rPr>
          <w:noProof/>
        </w:rPr>
        <mc:AlternateContent>
          <mc:Choice Requires="wps">
            <w:drawing>
              <wp:inline distT="0" distB="0" distL="0" distR="0" wp14:anchorId="4683198F" wp14:editId="2E785F6A">
                <wp:extent cx="38100" cy="38100"/>
                <wp:effectExtent l="0" t="0" r="0" b="0"/>
                <wp:docPr id="4" name="Rectangle 4" descr="https://www.translatoruser.net/bvsandbox.aspx?&amp;from=en&amp;to=es&amp;csId=8ffd7237-dc5d-40e4-b342-2a4733da4440&amp;usId=104f79dd-6c6d-4a79-9dc8-fee9745c828f&amp;ac=true&amp;bvrpx=false&amp;bvrpp=&amp;dt=2019%2F3%2F20%2018%3A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343F6" id="Rectangle 4" o:spid="_x0000_s1026" alt="https://www.translatoruser.net/bvsandbox.aspx?&amp;from=en&amp;to=es&amp;csId=8ffd7237-dc5d-40e4-b342-2a4733da4440&amp;usId=104f79dd-6c6d-4a79-9dc8-fee9745c828f&amp;ac=true&amp;bvrpx=false&amp;bvrpp=&amp;dt=2019%2F3%2F20%2018%3A35" style="width:3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BE1793">
        <w:rPr>
          <w:lang w:val="es-ES"/>
        </w:rPr>
        <w:t>pago</w:t>
      </w:r>
      <w:r>
        <w:rPr>
          <w:lang w:val="es-ES"/>
        </w:rPr>
        <w:t>s</w:t>
      </w:r>
      <w:r w:rsidRPr="00BE1793">
        <w:rPr>
          <w:lang w:val="es-ES"/>
        </w:rPr>
        <w:t xml:space="preserve"> de </w:t>
      </w:r>
      <w:r>
        <w:rPr>
          <w:lang w:val="es-ES"/>
        </w:rPr>
        <w:t>otros planes de seguros</w:t>
      </w:r>
      <w:r w:rsidRPr="00BE1793">
        <w:rPr>
          <w:lang w:val="es-ES"/>
        </w:rPr>
        <w:t xml:space="preserve">, programas federales </w:t>
      </w:r>
      <w:r>
        <w:rPr>
          <w:lang w:val="es-ES"/>
        </w:rPr>
        <w:t>o</w:t>
      </w:r>
      <w:r w:rsidRPr="00BE1793">
        <w:rPr>
          <w:lang w:val="es-ES"/>
        </w:rPr>
        <w:t xml:space="preserve"> estatales.</w:t>
      </w:r>
    </w:p>
    <w:p w:rsidR="00F06F2C" w:rsidRDefault="00F06F2C" w:rsidP="00F06F2C">
      <w:pPr>
        <w:spacing w:line="247" w:lineRule="auto"/>
        <w:ind w:left="720" w:hanging="355"/>
        <w:jc w:val="left"/>
        <w:rPr>
          <w:lang w:val="es-ES"/>
        </w:rPr>
      </w:pPr>
      <w:r w:rsidRPr="00BE1793">
        <w:rPr>
          <w:sz w:val="24"/>
          <w:szCs w:val="24"/>
          <w:lang w:val="es-ES"/>
        </w:rPr>
        <w:t>6.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>Término de aplicación: el paciente</w:t>
      </w:r>
      <w:r>
        <w:rPr>
          <w:lang w:val="es-ES"/>
        </w:rPr>
        <w:t xml:space="preserve"> o la persona resp</w:t>
      </w:r>
      <w:r w:rsidRPr="00BE1793">
        <w:rPr>
          <w:lang w:val="es-ES"/>
        </w:rPr>
        <w:t xml:space="preserve">onsable debe llenar una solicitud </w:t>
      </w:r>
      <w:r>
        <w:rPr>
          <w:lang w:val="es-ES"/>
        </w:rPr>
        <w:t>d</w:t>
      </w:r>
      <w:r w:rsidRPr="00BE1793">
        <w:rPr>
          <w:lang w:val="es-ES"/>
        </w:rPr>
        <w:t xml:space="preserve">el programa </w:t>
      </w:r>
      <w:r>
        <w:rPr>
          <w:lang w:val="es-ES"/>
        </w:rPr>
        <w:t xml:space="preserve">del </w:t>
      </w:r>
      <w:r w:rsidRPr="0021663E">
        <w:rPr>
          <w:lang w:val="es-ES"/>
        </w:rPr>
        <w:t>Descuento de Tarifas Variables</w:t>
      </w:r>
      <w:r>
        <w:rPr>
          <w:lang w:val="es-ES"/>
        </w:rPr>
        <w:t xml:space="preserve"> </w:t>
      </w:r>
      <w:r w:rsidRPr="00BE1793">
        <w:rPr>
          <w:lang w:val="es-ES"/>
        </w:rPr>
        <w:t xml:space="preserve">en su totalidad. Firmando </w:t>
      </w:r>
      <w:r>
        <w:rPr>
          <w:lang w:val="es-ES"/>
        </w:rPr>
        <w:t>tal</w:t>
      </w:r>
      <w:r w:rsidRPr="00BE1793">
        <w:rPr>
          <w:lang w:val="es-ES"/>
        </w:rPr>
        <w:t xml:space="preserve"> aplicación</w:t>
      </w:r>
      <w:r>
        <w:rPr>
          <w:lang w:val="es-ES"/>
        </w:rPr>
        <w:t>,</w:t>
      </w:r>
      <w:r w:rsidRPr="00BE1793">
        <w:rPr>
          <w:lang w:val="es-ES"/>
        </w:rPr>
        <w:t xml:space="preserve"> </w:t>
      </w:r>
      <w:r>
        <w:rPr>
          <w:lang w:val="es-ES"/>
        </w:rPr>
        <w:t xml:space="preserve">las </w:t>
      </w:r>
      <w:r w:rsidRPr="00BE1793">
        <w:rPr>
          <w:lang w:val="es-ES"/>
        </w:rPr>
        <w:t>personas autoriz</w:t>
      </w:r>
      <w:r>
        <w:rPr>
          <w:lang w:val="es-ES"/>
        </w:rPr>
        <w:t>an el acceso</w:t>
      </w:r>
      <w:r w:rsidRPr="00BE1793">
        <w:rPr>
          <w:lang w:val="es-ES"/>
        </w:rPr>
        <w:t xml:space="preserve"> de Astría</w:t>
      </w:r>
      <w:r>
        <w:rPr>
          <w:lang w:val="es-ES"/>
        </w:rPr>
        <w:t xml:space="preserve"> Health Centers</w:t>
      </w:r>
      <w:r w:rsidRPr="00BE1793">
        <w:rPr>
          <w:lang w:val="es-ES"/>
        </w:rPr>
        <w:t xml:space="preserve"> en confirmar </w:t>
      </w:r>
      <w:r>
        <w:rPr>
          <w:lang w:val="es-ES"/>
        </w:rPr>
        <w:t xml:space="preserve">los </w:t>
      </w:r>
      <w:r w:rsidRPr="00BE1793">
        <w:rPr>
          <w:lang w:val="es-ES"/>
        </w:rPr>
        <w:t>ingreso</w:t>
      </w:r>
      <w:r>
        <w:rPr>
          <w:lang w:val="es-ES"/>
        </w:rPr>
        <w:t>s</w:t>
      </w:r>
      <w:r w:rsidRPr="00BE1793">
        <w:rPr>
          <w:lang w:val="es-ES"/>
        </w:rPr>
        <w:t xml:space="preserve"> según lo establecido en el formulario</w:t>
      </w:r>
      <w:r>
        <w:rPr>
          <w:lang w:val="es-ES"/>
        </w:rPr>
        <w:t xml:space="preserve"> </w:t>
      </w:r>
      <w:r w:rsidRPr="00BE1793">
        <w:rPr>
          <w:lang w:val="es-ES"/>
        </w:rPr>
        <w:t>de solicitud</w:t>
      </w:r>
      <w:r>
        <w:rPr>
          <w:lang w:val="es-ES"/>
        </w:rPr>
        <w:t xml:space="preserve">. </w:t>
      </w:r>
      <w:r w:rsidRPr="007E58C9">
        <w:t xml:space="preserve"> </w:t>
      </w:r>
      <w:r>
        <w:rPr>
          <w:lang w:val="es-ES"/>
        </w:rPr>
        <w:t>Al dar i</w:t>
      </w:r>
      <w:r w:rsidRPr="007E58C9">
        <w:rPr>
          <w:lang w:val="es-ES"/>
        </w:rPr>
        <w:t>nformación falsa en la aplicación resultará en la cancelac</w:t>
      </w:r>
      <w:bookmarkStart w:id="0" w:name="_GoBack"/>
      <w:bookmarkEnd w:id="0"/>
      <w:r w:rsidRPr="007E58C9">
        <w:rPr>
          <w:lang w:val="es-ES"/>
        </w:rPr>
        <w:t>ión del programa, y la totalidad de la cuenta se pagará inmediatamente.</w:t>
      </w:r>
    </w:p>
    <w:p w:rsidR="00F06F2C" w:rsidRPr="00BE1793" w:rsidRDefault="00F06F2C" w:rsidP="00F06F2C">
      <w:pPr>
        <w:spacing w:line="247" w:lineRule="auto"/>
        <w:ind w:left="720" w:hanging="355"/>
        <w:jc w:val="left"/>
      </w:pPr>
      <w:r w:rsidRPr="00BE1793">
        <w:t> </w:t>
      </w:r>
    </w:p>
    <w:p w:rsidR="00F06F2C" w:rsidRPr="007E58C9" w:rsidRDefault="00F06F2C" w:rsidP="00F06F2C">
      <w:pPr>
        <w:spacing w:after="44" w:line="247" w:lineRule="auto"/>
        <w:ind w:left="360" w:firstLine="0"/>
        <w:jc w:val="left"/>
        <w:rPr>
          <w:lang w:val="es-ES"/>
        </w:rPr>
      </w:pPr>
      <w:r w:rsidRPr="007E58C9">
        <w:rPr>
          <w:lang w:val="es-ES"/>
        </w:rPr>
        <w:t xml:space="preserve">Si una aplicación no puede ser procesada debido a la necesidad de información adicional, el solicitante tiene dos semanas de la fecha de notificación para suministrar la información necesaria sin </w:t>
      </w:r>
      <w:r>
        <w:rPr>
          <w:lang w:val="es-ES"/>
        </w:rPr>
        <w:t xml:space="preserve">ajustarse </w:t>
      </w:r>
      <w:r w:rsidRPr="007E58C9">
        <w:rPr>
          <w:lang w:val="es-ES"/>
        </w:rPr>
        <w:t xml:space="preserve">la fecha </w:t>
      </w:r>
      <w:r>
        <w:rPr>
          <w:lang w:val="es-ES"/>
        </w:rPr>
        <w:t xml:space="preserve">dada </w:t>
      </w:r>
      <w:r w:rsidRPr="007E58C9">
        <w:rPr>
          <w:lang w:val="es-ES"/>
        </w:rPr>
        <w:t>en su solicitud</w:t>
      </w:r>
      <w:r>
        <w:rPr>
          <w:lang w:val="es-ES"/>
        </w:rPr>
        <w:t>.</w:t>
      </w:r>
      <w:r w:rsidRPr="007E58C9">
        <w:rPr>
          <w:lang w:val="es-ES"/>
        </w:rPr>
        <w:t xml:space="preserve"> Si un paciente no presenta la información solicitada en el plazo de dos semanas, la fecha efectiva de su aplicación será cambiada a la fecha en que</w:t>
      </w:r>
      <w:r>
        <w:rPr>
          <w:lang w:val="es-ES"/>
        </w:rPr>
        <w:t xml:space="preserve"> se</w:t>
      </w:r>
      <w:r w:rsidRPr="007E58C9">
        <w:rPr>
          <w:lang w:val="es-ES"/>
        </w:rPr>
        <w:t xml:space="preserve"> provea </w:t>
      </w:r>
      <w:r>
        <w:rPr>
          <w:lang w:val="es-ES"/>
        </w:rPr>
        <w:t>esa</w:t>
      </w:r>
      <w:r w:rsidRPr="007E58C9">
        <w:rPr>
          <w:lang w:val="es-ES"/>
        </w:rPr>
        <w:t xml:space="preserve"> información solicitada. Las cuentas entregadas para la colección como resultado </w:t>
      </w:r>
    </w:p>
    <w:p w:rsidR="00F06F2C" w:rsidRPr="007E58C9" w:rsidRDefault="00F06F2C" w:rsidP="00F06F2C">
      <w:pPr>
        <w:spacing w:after="44" w:line="247" w:lineRule="auto"/>
        <w:ind w:left="720" w:hanging="355"/>
        <w:jc w:val="left"/>
        <w:rPr>
          <w:lang w:val="es-ES"/>
        </w:rPr>
      </w:pPr>
    </w:p>
    <w:p w:rsidR="00F06F2C" w:rsidRDefault="00F06F2C" w:rsidP="00F06F2C">
      <w:pPr>
        <w:spacing w:after="44" w:line="247" w:lineRule="auto"/>
        <w:ind w:left="360" w:firstLine="0"/>
        <w:jc w:val="left"/>
        <w:rPr>
          <w:lang w:val="es-ES"/>
        </w:rPr>
      </w:pPr>
      <w:r w:rsidRPr="007E58C9">
        <w:rPr>
          <w:lang w:val="es-ES"/>
        </w:rPr>
        <w:t xml:space="preserve">de retardo del paciente en la provisión de información no se considerarán para el programa del Descuento de Tarifas Variables. Los descuentos se basarán únicamente en los ingresos y el número de personas </w:t>
      </w:r>
      <w:r>
        <w:rPr>
          <w:lang w:val="es-ES"/>
        </w:rPr>
        <w:t xml:space="preserve">que conforman </w:t>
      </w:r>
      <w:r w:rsidRPr="007E58C9">
        <w:rPr>
          <w:lang w:val="es-ES"/>
        </w:rPr>
        <w:t xml:space="preserve">la familia.  </w:t>
      </w:r>
    </w:p>
    <w:p w:rsidR="00F06F2C" w:rsidRDefault="00F06F2C" w:rsidP="00F06F2C">
      <w:pPr>
        <w:spacing w:after="44" w:line="247" w:lineRule="auto"/>
        <w:ind w:left="360" w:firstLine="0"/>
        <w:jc w:val="left"/>
        <w:rPr>
          <w:lang w:val="es-ES"/>
        </w:rPr>
      </w:pPr>
    </w:p>
    <w:p w:rsidR="00F06F2C" w:rsidRPr="00BE1793" w:rsidRDefault="00F06F2C" w:rsidP="00F06F2C">
      <w:pPr>
        <w:spacing w:after="44" w:line="247" w:lineRule="auto"/>
        <w:ind w:left="360" w:firstLine="0"/>
        <w:jc w:val="left"/>
      </w:pPr>
      <w:r w:rsidRPr="00BE1793">
        <w:rPr>
          <w:sz w:val="24"/>
          <w:szCs w:val="24"/>
          <w:lang w:val="es-ES"/>
        </w:rPr>
        <w:t>7.</w:t>
      </w:r>
      <w:r w:rsidRPr="00BE1793">
        <w:rPr>
          <w:sz w:val="14"/>
          <w:szCs w:val="14"/>
          <w:lang w:val="es-ES"/>
        </w:rPr>
        <w:t xml:space="preserve"> </w:t>
      </w:r>
      <w:r w:rsidRPr="00BE1793">
        <w:rPr>
          <w:lang w:val="es-ES"/>
        </w:rPr>
        <w:t>Elegibilidad: Los descuentos se basará</w:t>
      </w:r>
      <w:r>
        <w:rPr>
          <w:lang w:val="es-ES"/>
        </w:rPr>
        <w:t>n</w:t>
      </w:r>
      <w:r w:rsidRPr="00BE1793">
        <w:rPr>
          <w:lang w:val="es-ES"/>
        </w:rPr>
        <w:t xml:space="preserve"> en </w:t>
      </w:r>
      <w:r>
        <w:rPr>
          <w:lang w:val="es-ES"/>
        </w:rPr>
        <w:t xml:space="preserve">los </w:t>
      </w:r>
      <w:r w:rsidRPr="00BE1793">
        <w:rPr>
          <w:lang w:val="es-ES"/>
        </w:rPr>
        <w:t>ingresos</w:t>
      </w:r>
      <w:r>
        <w:rPr>
          <w:lang w:val="es-ES"/>
        </w:rPr>
        <w:t xml:space="preserve"> y el</w:t>
      </w:r>
      <w:r w:rsidRPr="00BE1793">
        <w:rPr>
          <w:lang w:val="es-ES"/>
        </w:rPr>
        <w:t xml:space="preserve"> </w:t>
      </w:r>
      <w:r>
        <w:rPr>
          <w:lang w:val="es-ES"/>
        </w:rPr>
        <w:t>número de personas en la</w:t>
      </w:r>
      <w:r w:rsidRPr="00BE1793">
        <w:rPr>
          <w:lang w:val="es-ES"/>
        </w:rPr>
        <w:t xml:space="preserve"> familia solamente. </w:t>
      </w:r>
      <w:r>
        <w:t xml:space="preserve">Astría Health Centers </w:t>
      </w:r>
      <w:r w:rsidRPr="00BE1793">
        <w:rPr>
          <w:lang w:val="es-ES"/>
        </w:rPr>
        <w:t>utiliza</w:t>
      </w:r>
      <w:r>
        <w:rPr>
          <w:lang w:val="es-ES"/>
        </w:rPr>
        <w:t>n</w:t>
      </w:r>
      <w:r w:rsidRPr="00BE1793">
        <w:rPr>
          <w:lang w:val="es-ES"/>
        </w:rPr>
        <w:t xml:space="preserve"> las definiciones de la oficina del censo de cada uno.</w:t>
      </w:r>
    </w:p>
    <w:p w:rsidR="00FE2C8A" w:rsidRPr="00F06F2C" w:rsidRDefault="00F06F2C" w:rsidP="00F06F2C">
      <w:pPr>
        <w:pStyle w:val="ListParagraph"/>
        <w:numPr>
          <w:ilvl w:val="0"/>
          <w:numId w:val="1"/>
        </w:numPr>
      </w:pPr>
      <w:r w:rsidRPr="00F06F2C">
        <w:rPr>
          <w:sz w:val="24"/>
          <w:szCs w:val="24"/>
          <w:lang w:val="es-ES"/>
        </w:rPr>
        <w:t>Familia se define como: un grupo de dos personas o más (uno de quién es el dueño de casa) relacionadas por nacimiento, matrimonio o adopción y que residen juntos; todas estas personas (incluyendo los miembros relacionados de la subfamilia) son consideradas como miembros de una</w:t>
      </w:r>
      <w:r w:rsidRPr="00F06F2C">
        <w:rPr>
          <w:sz w:val="24"/>
          <w:szCs w:val="24"/>
          <w:lang w:val="es-ES"/>
        </w:rPr>
        <w:t xml:space="preserve"> familia.</w:t>
      </w:r>
    </w:p>
    <w:p w:rsidR="00F06F2C" w:rsidRPr="00F06F2C" w:rsidRDefault="00F06F2C" w:rsidP="00F06F2C">
      <w:pPr>
        <w:pStyle w:val="ListParagraph"/>
        <w:numPr>
          <w:ilvl w:val="0"/>
          <w:numId w:val="1"/>
        </w:numPr>
        <w:spacing w:after="0" w:line="256" w:lineRule="auto"/>
        <w:rPr>
          <w:rFonts w:ascii="Arial" w:hAnsi="Arial" w:cs="Arial"/>
        </w:rPr>
      </w:pPr>
      <w:r w:rsidRPr="00F06F2C">
        <w:rPr>
          <w:sz w:val="24"/>
          <w:szCs w:val="24"/>
          <w:lang w:val="es-ES"/>
        </w:rPr>
        <w:t>Los ingresos incluyen: ingresos, compensación por desempleo, compensación por Labor e Industria, Seguridad Social, ingreso suplementario de seguridad, asistencia pública, pagos de veteranos, beneficios de sobreviviente, pensión o ingresos de jubilación, intereses, dividendos, alquileres, regalías, renta de herencias, fideicomisos, asistencia educativa, pensión alimenticia, manutención infantil, ayuda desde fuera de la casa u otras fuentes diversas. Prestaciones no monetarias (tales como cupones para alimentos y subsidios de vivienda) no se cuentan.</w:t>
      </w:r>
    </w:p>
    <w:p w:rsidR="00F06F2C" w:rsidRDefault="00F06F2C" w:rsidP="00F06F2C">
      <w:pPr>
        <w:pStyle w:val="Heading1"/>
        <w:rPr>
          <w:lang w:val="es-ES"/>
        </w:rPr>
      </w:pPr>
      <w:r>
        <w:rPr>
          <w:lang w:val="es-ES"/>
        </w:rPr>
        <w:br/>
      </w:r>
      <w:r>
        <w:rPr>
          <w:lang w:val="es-ES"/>
        </w:rPr>
        <w:t>Lista de Tarifas Variables</w:t>
      </w:r>
    </w:p>
    <w:tbl>
      <w:tblPr>
        <w:tblW w:w="10855" w:type="dxa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350"/>
        <w:gridCol w:w="1350"/>
        <w:gridCol w:w="1429"/>
        <w:gridCol w:w="1747"/>
        <w:gridCol w:w="3567"/>
      </w:tblGrid>
      <w:tr w:rsidR="00F06F2C" w:rsidTr="00F06F2C">
        <w:trPr>
          <w:trHeight w:val="621"/>
        </w:trPr>
        <w:tc>
          <w:tcPr>
            <w:tcW w:w="10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center"/>
            <w:hideMark/>
          </w:tcPr>
          <w:p w:rsidR="00F06F2C" w:rsidRPr="00F06F2C" w:rsidRDefault="00F06F2C" w:rsidP="00C70E75">
            <w:pPr>
              <w:spacing w:after="0" w:line="256" w:lineRule="auto"/>
              <w:ind w:left="31"/>
              <w:jc w:val="center"/>
              <w:rPr>
                <w:sz w:val="24"/>
                <w:szCs w:val="24"/>
              </w:rPr>
            </w:pPr>
            <w:r w:rsidRPr="00F06F2C">
              <w:rPr>
                <w:b/>
                <w:bCs/>
                <w:sz w:val="24"/>
                <w:szCs w:val="24"/>
                <w:lang w:val="es-ES"/>
              </w:rPr>
              <w:t xml:space="preserve">Umbrales de Ingresos Anuales por Descuento de Tarifas Variables por clase de paga y por ciento de la pobreza </w:t>
            </w:r>
          </w:p>
        </w:tc>
      </w:tr>
      <w:tr w:rsidR="00F06F2C" w:rsidTr="00F06F2C">
        <w:trPr>
          <w:trHeight w:val="82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C70E75">
            <w:pPr>
              <w:spacing w:after="0" w:line="256" w:lineRule="auto"/>
              <w:ind w:left="24" w:firstLine="5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Nivel de pobreza 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C70E75">
            <w:pPr>
              <w:spacing w:after="0" w:line="256" w:lineRule="auto"/>
              <w:ind w:left="24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En o</w:t>
            </w:r>
          </w:p>
          <w:p w:rsidR="00F06F2C" w:rsidRDefault="00F06F2C" w:rsidP="00C70E75">
            <w:pPr>
              <w:spacing w:after="0" w:line="256" w:lineRule="auto"/>
              <w:ind w:left="39" w:hanging="10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Por debajo del 100%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left="38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125%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left="38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150%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left="36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175%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left="29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200% y superiores</w:t>
            </w:r>
          </w:p>
        </w:tc>
      </w:tr>
      <w:tr w:rsidR="00F06F2C" w:rsidTr="00F06F2C">
        <w:trPr>
          <w:trHeight w:val="562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left="29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Tamaño de la familia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C70E75">
            <w:pPr>
              <w:spacing w:after="0" w:line="256" w:lineRule="auto"/>
              <w:ind w:left="29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Tarifa Nominal</w:t>
            </w:r>
          </w:p>
          <w:p w:rsidR="00F06F2C" w:rsidRDefault="00F06F2C" w:rsidP="00C70E75">
            <w:pPr>
              <w:spacing w:after="0" w:line="256" w:lineRule="auto"/>
              <w:ind w:left="29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20% pago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Pagar el 40%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Pagar 60%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F06F2C" w:rsidRDefault="00F06F2C" w:rsidP="00C70E75">
            <w:pPr>
              <w:spacing w:after="160" w:line="256" w:lineRule="auto"/>
              <w:jc w:val="center"/>
            </w:pPr>
            <w:r>
              <w:rPr>
                <w:b/>
                <w:bCs/>
                <w:sz w:val="20"/>
                <w:szCs w:val="20"/>
                <w:lang w:val="es-ES"/>
              </w:rPr>
              <w:t>Pagar el 70%</w:t>
            </w:r>
          </w:p>
          <w:p w:rsidR="00F06F2C" w:rsidRDefault="00F06F2C" w:rsidP="00C70E75">
            <w:pPr>
              <w:spacing w:after="0" w:line="256" w:lineRule="auto"/>
              <w:ind w:left="29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6F2C" w:rsidTr="00F06F2C">
        <w:trPr>
          <w:trHeight w:val="547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C70E75">
            <w:pPr>
              <w:spacing w:after="0" w:line="256" w:lineRule="auto"/>
              <w:ind w:left="24"/>
              <w:jc w:val="center"/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left="28"/>
              <w:jc w:val="center"/>
            </w:pPr>
            <w:r>
              <w:rPr>
                <w:sz w:val="20"/>
                <w:szCs w:val="20"/>
                <w:lang w:val="es-ES"/>
              </w:rPr>
              <w:t>0-$12,140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$12,141 - $15,175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$15,176-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$18,210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$18,211-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$21,245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6"/>
              <w:jc w:val="center"/>
            </w:pPr>
            <w:r>
              <w:rPr>
                <w:sz w:val="20"/>
                <w:szCs w:val="20"/>
                <w:lang w:val="es-ES"/>
              </w:rPr>
              <w:t>$21,246 +</w:t>
            </w:r>
          </w:p>
        </w:tc>
      </w:tr>
      <w:tr w:rsidR="00F06F2C" w:rsidTr="00F06F2C">
        <w:trPr>
          <w:trHeight w:val="52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left="5"/>
              <w:jc w:val="center"/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left="23"/>
              <w:jc w:val="center"/>
            </w:pPr>
            <w:r>
              <w:rPr>
                <w:sz w:val="20"/>
                <w:szCs w:val="20"/>
                <w:lang w:val="es-ES"/>
              </w:rPr>
              <w:t>0-$16,460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$16,461 - $20,575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$20,576-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$24,690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$24,691- 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$28,805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1"/>
              <w:jc w:val="center"/>
            </w:pPr>
            <w:r>
              <w:rPr>
                <w:sz w:val="20"/>
                <w:szCs w:val="20"/>
                <w:lang w:val="es-ES"/>
              </w:rPr>
              <w:t>$28,806 +</w:t>
            </w:r>
          </w:p>
        </w:tc>
      </w:tr>
      <w:tr w:rsidR="00F06F2C" w:rsidTr="00F06F2C">
        <w:trPr>
          <w:trHeight w:val="52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left="14"/>
              <w:jc w:val="center"/>
            </w:pPr>
            <w:r>
              <w:rPr>
                <w:sz w:val="20"/>
                <w:szCs w:val="20"/>
                <w:lang w:val="es-ES"/>
              </w:rPr>
              <w:t>0-$20,780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$20,781-$25,975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$25,976-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$31,170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9" w:hanging="34"/>
              <w:jc w:val="center"/>
            </w:pPr>
            <w:r>
              <w:rPr>
                <w:sz w:val="20"/>
                <w:szCs w:val="20"/>
                <w:lang w:val="es-ES"/>
              </w:rPr>
              <w:t>$31,171-</w:t>
            </w:r>
          </w:p>
          <w:p w:rsidR="00F06F2C" w:rsidRDefault="00F06F2C" w:rsidP="00F06F2C">
            <w:pPr>
              <w:spacing w:after="0" w:line="256" w:lineRule="auto"/>
              <w:ind w:left="209" w:hanging="34"/>
              <w:jc w:val="center"/>
            </w:pPr>
            <w:r>
              <w:rPr>
                <w:sz w:val="20"/>
                <w:szCs w:val="20"/>
                <w:lang w:val="es-ES"/>
              </w:rPr>
              <w:t>$36,365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16"/>
              <w:jc w:val="center"/>
            </w:pPr>
            <w:r>
              <w:rPr>
                <w:sz w:val="20"/>
                <w:szCs w:val="20"/>
                <w:lang w:val="es-ES"/>
              </w:rPr>
              <w:t>$36,366 +</w:t>
            </w:r>
          </w:p>
        </w:tc>
      </w:tr>
      <w:tr w:rsidR="00F06F2C" w:rsidTr="00F06F2C">
        <w:trPr>
          <w:trHeight w:val="525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left="14"/>
              <w:jc w:val="center"/>
            </w:pPr>
            <w:r>
              <w:rPr>
                <w:sz w:val="20"/>
                <w:szCs w:val="20"/>
                <w:lang w:val="es-ES"/>
              </w:rPr>
              <w:t>0-$25,100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5" w:hanging="38"/>
              <w:jc w:val="center"/>
            </w:pPr>
            <w:r>
              <w:rPr>
                <w:sz w:val="20"/>
                <w:szCs w:val="20"/>
                <w:lang w:val="es-ES"/>
              </w:rPr>
              <w:t>$25,101-$31,375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$31,376--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$37,650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8" w:hanging="38"/>
              <w:jc w:val="center"/>
            </w:pPr>
            <w:r>
              <w:rPr>
                <w:sz w:val="20"/>
                <w:szCs w:val="20"/>
                <w:lang w:val="es-ES"/>
              </w:rPr>
              <w:t>$37,651-</w:t>
            </w:r>
          </w:p>
          <w:p w:rsidR="00F06F2C" w:rsidRDefault="00F06F2C" w:rsidP="00F06F2C">
            <w:pPr>
              <w:spacing w:after="0" w:line="256" w:lineRule="auto"/>
              <w:ind w:left="208" w:hanging="38"/>
              <w:jc w:val="center"/>
            </w:pPr>
            <w:r>
              <w:rPr>
                <w:sz w:val="20"/>
                <w:szCs w:val="20"/>
                <w:lang w:val="es-ES"/>
              </w:rPr>
              <w:t>$43,925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16"/>
              <w:jc w:val="center"/>
            </w:pPr>
            <w:r>
              <w:rPr>
                <w:sz w:val="20"/>
                <w:szCs w:val="20"/>
                <w:lang w:val="es-ES"/>
              </w:rPr>
              <w:t>$43,926 +</w:t>
            </w:r>
          </w:p>
        </w:tc>
      </w:tr>
      <w:tr w:rsidR="00F06F2C" w:rsidTr="00F06F2C">
        <w:trPr>
          <w:trHeight w:val="533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5"/>
              <w:jc w:val="center"/>
            </w:pPr>
            <w:r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left="4"/>
              <w:jc w:val="center"/>
            </w:pPr>
            <w:r>
              <w:rPr>
                <w:sz w:val="20"/>
                <w:szCs w:val="20"/>
                <w:lang w:val="es-ES"/>
              </w:rPr>
              <w:t>0-$29,420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1" w:hanging="34"/>
              <w:jc w:val="center"/>
            </w:pPr>
            <w:r>
              <w:rPr>
                <w:sz w:val="20"/>
                <w:szCs w:val="20"/>
                <w:lang w:val="es-ES"/>
              </w:rPr>
              <w:t>$29,421-$36,775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$36,776-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$44,130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4" w:hanging="34"/>
              <w:jc w:val="center"/>
            </w:pPr>
            <w:r>
              <w:rPr>
                <w:sz w:val="20"/>
                <w:szCs w:val="20"/>
                <w:lang w:val="es-ES"/>
              </w:rPr>
              <w:t>$44,131-</w:t>
            </w:r>
          </w:p>
          <w:p w:rsidR="00F06F2C" w:rsidRDefault="00F06F2C" w:rsidP="00F06F2C">
            <w:pPr>
              <w:spacing w:after="0" w:line="256" w:lineRule="auto"/>
              <w:ind w:left="204" w:hanging="34"/>
              <w:jc w:val="center"/>
            </w:pPr>
            <w:r>
              <w:rPr>
                <w:sz w:val="20"/>
                <w:szCs w:val="20"/>
                <w:lang w:val="es-ES"/>
              </w:rPr>
              <w:t>$51,485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7"/>
              <w:jc w:val="center"/>
            </w:pPr>
            <w:r>
              <w:rPr>
                <w:sz w:val="20"/>
                <w:szCs w:val="20"/>
                <w:lang w:val="es-ES"/>
              </w:rPr>
              <w:t>$51,486 +</w:t>
            </w:r>
          </w:p>
        </w:tc>
      </w:tr>
      <w:tr w:rsidR="00F06F2C" w:rsidTr="00F06F2C">
        <w:trPr>
          <w:trHeight w:val="526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5"/>
              <w:jc w:val="center"/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left="4"/>
              <w:jc w:val="center"/>
            </w:pPr>
            <w:r>
              <w:rPr>
                <w:sz w:val="20"/>
                <w:szCs w:val="20"/>
                <w:lang w:val="es-ES"/>
              </w:rPr>
              <w:t>0-$33,740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49" w:hanging="86"/>
              <w:jc w:val="center"/>
            </w:pPr>
            <w:r>
              <w:rPr>
                <w:sz w:val="20"/>
                <w:szCs w:val="20"/>
                <w:lang w:val="es-ES"/>
              </w:rPr>
              <w:t>$33,741-</w:t>
            </w:r>
          </w:p>
          <w:p w:rsidR="00F06F2C" w:rsidRDefault="00F06F2C" w:rsidP="00F06F2C">
            <w:pPr>
              <w:spacing w:after="0" w:line="256" w:lineRule="auto"/>
              <w:ind w:left="249" w:hanging="86"/>
              <w:jc w:val="center"/>
            </w:pPr>
            <w:r>
              <w:rPr>
                <w:sz w:val="20"/>
                <w:szCs w:val="20"/>
                <w:lang w:val="es-ES"/>
              </w:rPr>
              <w:t>$42,175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$42,176-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$50,610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4" w:hanging="38"/>
              <w:jc w:val="center"/>
            </w:pPr>
            <w:r>
              <w:rPr>
                <w:sz w:val="20"/>
                <w:szCs w:val="20"/>
                <w:lang w:val="es-ES"/>
              </w:rPr>
              <w:t>$50,611-</w:t>
            </w:r>
          </w:p>
          <w:p w:rsidR="00F06F2C" w:rsidRDefault="00F06F2C" w:rsidP="00F06F2C">
            <w:pPr>
              <w:spacing w:after="0" w:line="256" w:lineRule="auto"/>
              <w:ind w:left="204" w:hanging="38"/>
              <w:jc w:val="center"/>
            </w:pPr>
            <w:r>
              <w:rPr>
                <w:sz w:val="20"/>
                <w:szCs w:val="20"/>
                <w:lang w:val="es-ES"/>
              </w:rPr>
              <w:t>$59,045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7"/>
              <w:jc w:val="center"/>
            </w:pPr>
            <w:r>
              <w:rPr>
                <w:sz w:val="20"/>
                <w:szCs w:val="20"/>
                <w:lang w:val="es-ES"/>
              </w:rPr>
              <w:t>$59,046 +</w:t>
            </w:r>
          </w:p>
        </w:tc>
      </w:tr>
      <w:tr w:rsidR="00F06F2C" w:rsidTr="00F06F2C">
        <w:trPr>
          <w:trHeight w:val="52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10"/>
              <w:jc w:val="center"/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right="5"/>
              <w:jc w:val="center"/>
            </w:pPr>
            <w:r>
              <w:rPr>
                <w:sz w:val="20"/>
                <w:szCs w:val="20"/>
                <w:lang w:val="es-ES"/>
              </w:rPr>
              <w:t>0-$38,060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197" w:hanging="34"/>
              <w:jc w:val="center"/>
            </w:pPr>
            <w:r>
              <w:rPr>
                <w:sz w:val="20"/>
                <w:szCs w:val="20"/>
                <w:lang w:val="es-ES"/>
              </w:rPr>
              <w:t>$38,061-47,575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$47,576-</w:t>
            </w:r>
          </w:p>
          <w:p w:rsidR="00F06F2C" w:rsidRDefault="00F06F2C" w:rsidP="00F06F2C">
            <w:pPr>
              <w:spacing w:after="0" w:line="256" w:lineRule="auto"/>
              <w:jc w:val="center"/>
            </w:pPr>
            <w:r>
              <w:rPr>
                <w:sz w:val="20"/>
                <w:szCs w:val="20"/>
                <w:lang w:val="es-ES"/>
              </w:rPr>
              <w:t>$57,090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00" w:hanging="34"/>
              <w:jc w:val="center"/>
            </w:pPr>
            <w:r>
              <w:rPr>
                <w:sz w:val="20"/>
                <w:szCs w:val="20"/>
                <w:lang w:val="es-ES"/>
              </w:rPr>
              <w:t>$57,091-</w:t>
            </w:r>
          </w:p>
          <w:p w:rsidR="00F06F2C" w:rsidRDefault="00F06F2C" w:rsidP="00F06F2C">
            <w:pPr>
              <w:spacing w:after="0" w:line="256" w:lineRule="auto"/>
              <w:ind w:left="200" w:hanging="34"/>
              <w:jc w:val="center"/>
            </w:pPr>
            <w:r>
              <w:rPr>
                <w:sz w:val="20"/>
                <w:szCs w:val="20"/>
                <w:lang w:val="es-ES"/>
              </w:rPr>
              <w:t>$66,605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2"/>
              <w:jc w:val="center"/>
            </w:pPr>
            <w:r>
              <w:rPr>
                <w:sz w:val="20"/>
                <w:szCs w:val="20"/>
                <w:lang w:val="es-ES"/>
              </w:rPr>
              <w:t>$66,606 +</w:t>
            </w:r>
          </w:p>
        </w:tc>
      </w:tr>
      <w:tr w:rsidR="00F06F2C" w:rsidTr="00F06F2C">
        <w:trPr>
          <w:trHeight w:val="52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19"/>
              <w:jc w:val="center"/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F06F2C">
            <w:pPr>
              <w:spacing w:after="0" w:line="256" w:lineRule="auto"/>
              <w:ind w:right="10"/>
              <w:jc w:val="center"/>
            </w:pPr>
            <w:r>
              <w:rPr>
                <w:sz w:val="20"/>
                <w:szCs w:val="20"/>
                <w:lang w:val="es-ES"/>
              </w:rPr>
              <w:t>0-$42,380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192" w:hanging="34"/>
              <w:jc w:val="center"/>
            </w:pPr>
            <w:r>
              <w:rPr>
                <w:sz w:val="20"/>
                <w:szCs w:val="20"/>
                <w:lang w:val="es-ES"/>
              </w:rPr>
              <w:t>$42,381-$52,975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right="13"/>
              <w:jc w:val="center"/>
            </w:pPr>
            <w:r>
              <w:rPr>
                <w:sz w:val="20"/>
                <w:szCs w:val="20"/>
                <w:lang w:val="es-ES"/>
              </w:rPr>
              <w:t>$52,976-</w:t>
            </w:r>
          </w:p>
          <w:p w:rsidR="00F06F2C" w:rsidRDefault="00F06F2C" w:rsidP="00F06F2C">
            <w:pPr>
              <w:spacing w:after="0" w:line="256" w:lineRule="auto"/>
              <w:ind w:right="13"/>
              <w:jc w:val="center"/>
            </w:pPr>
            <w:r>
              <w:rPr>
                <w:sz w:val="20"/>
                <w:szCs w:val="20"/>
                <w:lang w:val="es-ES"/>
              </w:rPr>
              <w:t>$63,570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left="199" w:hanging="38"/>
              <w:jc w:val="center"/>
            </w:pPr>
            <w:r>
              <w:rPr>
                <w:sz w:val="20"/>
                <w:szCs w:val="20"/>
                <w:lang w:val="es-ES"/>
              </w:rPr>
              <w:t>$63,571-</w:t>
            </w:r>
          </w:p>
          <w:p w:rsidR="00F06F2C" w:rsidRDefault="00F06F2C" w:rsidP="00F06F2C">
            <w:pPr>
              <w:spacing w:after="0" w:line="256" w:lineRule="auto"/>
              <w:ind w:left="199" w:hanging="38"/>
              <w:jc w:val="center"/>
            </w:pPr>
            <w:r>
              <w:rPr>
                <w:sz w:val="20"/>
                <w:szCs w:val="20"/>
                <w:lang w:val="es-ES"/>
              </w:rPr>
              <w:t>$74,165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F06F2C">
            <w:pPr>
              <w:spacing w:after="0" w:line="256" w:lineRule="auto"/>
              <w:ind w:right="3"/>
              <w:jc w:val="center"/>
            </w:pPr>
            <w:r>
              <w:rPr>
                <w:sz w:val="20"/>
                <w:szCs w:val="20"/>
                <w:lang w:val="es-ES"/>
              </w:rPr>
              <w:t>$74,166 +</w:t>
            </w:r>
          </w:p>
        </w:tc>
      </w:tr>
      <w:tr w:rsidR="00F06F2C" w:rsidTr="00F06F2C">
        <w:trPr>
          <w:trHeight w:val="432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hideMark/>
          </w:tcPr>
          <w:p w:rsidR="00F06F2C" w:rsidRDefault="00F06F2C" w:rsidP="00C70E75">
            <w:pPr>
              <w:spacing w:after="0" w:line="256" w:lineRule="auto"/>
              <w:ind w:firstLine="6"/>
              <w:jc w:val="center"/>
            </w:pPr>
            <w:r>
              <w:rPr>
                <w:sz w:val="16"/>
                <w:szCs w:val="16"/>
                <w:lang w:val="es-ES"/>
              </w:rPr>
              <w:t>Por cada persona adicional Agregar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25"/>
              <w:jc w:val="center"/>
            </w:pPr>
            <w:r>
              <w:rPr>
                <w:sz w:val="20"/>
                <w:szCs w:val="20"/>
                <w:lang w:val="es-ES"/>
              </w:rPr>
              <w:t>$4,320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20"/>
              <w:jc w:val="center"/>
            </w:pPr>
            <w:r>
              <w:rPr>
                <w:sz w:val="20"/>
                <w:szCs w:val="20"/>
                <w:lang w:val="es-ES"/>
              </w:rPr>
              <w:t>$5,400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17"/>
              <w:jc w:val="center"/>
            </w:pPr>
            <w:r>
              <w:rPr>
                <w:sz w:val="20"/>
                <w:szCs w:val="20"/>
                <w:lang w:val="es-ES"/>
              </w:rPr>
              <w:t>$6,480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17"/>
              <w:jc w:val="center"/>
            </w:pPr>
            <w:r>
              <w:rPr>
                <w:sz w:val="20"/>
                <w:szCs w:val="20"/>
                <w:lang w:val="es-ES"/>
              </w:rPr>
              <w:t>$7,560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98" w:type="dxa"/>
              <w:bottom w:w="10" w:type="dxa"/>
              <w:right w:w="113" w:type="dxa"/>
            </w:tcMar>
            <w:vAlign w:val="bottom"/>
            <w:hideMark/>
          </w:tcPr>
          <w:p w:rsidR="00F06F2C" w:rsidRDefault="00F06F2C" w:rsidP="00C70E75">
            <w:pPr>
              <w:spacing w:after="0" w:line="256" w:lineRule="auto"/>
              <w:ind w:right="8"/>
              <w:jc w:val="center"/>
            </w:pPr>
            <w:r>
              <w:rPr>
                <w:sz w:val="20"/>
                <w:szCs w:val="20"/>
                <w:lang w:val="es-ES"/>
              </w:rPr>
              <w:t>$8,640</w:t>
            </w:r>
          </w:p>
        </w:tc>
      </w:tr>
    </w:tbl>
    <w:p w:rsidR="00F06F2C" w:rsidRPr="00F06F2C" w:rsidRDefault="00F06F2C" w:rsidP="00F06F2C">
      <w:pPr>
        <w:spacing w:after="0" w:line="256" w:lineRule="auto"/>
        <w:rPr>
          <w:rFonts w:ascii="Arial" w:hAnsi="Arial" w:cs="Arial"/>
        </w:rPr>
      </w:pPr>
      <w:r w:rsidRPr="00F06F2C">
        <w:rPr>
          <w:sz w:val="24"/>
          <w:szCs w:val="24"/>
          <w:lang w:val="es-ES"/>
        </w:rPr>
        <w:t xml:space="preserve">* Basado en las normas federales de pobreza 2018  </w:t>
      </w:r>
      <w:hyperlink r:id="rId7" w:history="1">
        <w:r w:rsidRPr="00F06F2C">
          <w:rPr>
            <w:rStyle w:val="Hyperlink"/>
            <w:rFonts w:eastAsiaTheme="majorEastAsia"/>
            <w:lang w:val="es-ES"/>
          </w:rPr>
          <w:t>http://.hhs.gov/poverty</w:t>
        </w:r>
      </w:hyperlink>
    </w:p>
    <w:sectPr w:rsidR="00F06F2C" w:rsidRPr="00F06F2C" w:rsidSect="00F06F2C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2C" w:rsidRDefault="00F06F2C" w:rsidP="00F06F2C">
      <w:pPr>
        <w:spacing w:after="0" w:line="240" w:lineRule="auto"/>
      </w:pPr>
      <w:r>
        <w:separator/>
      </w:r>
    </w:p>
  </w:endnote>
  <w:endnote w:type="continuationSeparator" w:id="0">
    <w:p w:rsidR="00F06F2C" w:rsidRDefault="00F06F2C" w:rsidP="00F0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C" w:rsidRDefault="00F06F2C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7BDCC1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Pr="00F06F2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2C" w:rsidRDefault="00F06F2C" w:rsidP="00F06F2C">
      <w:pPr>
        <w:spacing w:after="0" w:line="240" w:lineRule="auto"/>
      </w:pPr>
      <w:r>
        <w:separator/>
      </w:r>
    </w:p>
  </w:footnote>
  <w:footnote w:type="continuationSeparator" w:id="0">
    <w:p w:rsidR="00F06F2C" w:rsidRDefault="00F06F2C" w:rsidP="00F0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C" w:rsidRDefault="00F06F2C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E26A90D" wp14:editId="0C3032FD">
          <wp:simplePos x="0" y="0"/>
          <wp:positionH relativeFrom="margin">
            <wp:align>center</wp:align>
          </wp:positionH>
          <wp:positionV relativeFrom="paragraph">
            <wp:posOffset>-412115</wp:posOffset>
          </wp:positionV>
          <wp:extent cx="5959044" cy="576072"/>
          <wp:effectExtent l="0" t="0" r="0" b="0"/>
          <wp:wrapTight wrapText="bothSides">
            <wp:wrapPolygon edited="0">
              <wp:start x="1105" y="1429"/>
              <wp:lineTo x="621" y="14289"/>
              <wp:lineTo x="345" y="17147"/>
              <wp:lineTo x="207" y="19290"/>
              <wp:lineTo x="207" y="20719"/>
              <wp:lineTo x="483" y="20719"/>
              <wp:lineTo x="7113" y="20004"/>
              <wp:lineTo x="21338" y="16432"/>
              <wp:lineTo x="21407" y="6430"/>
              <wp:lineTo x="1450" y="1429"/>
              <wp:lineTo x="1105" y="1429"/>
            </wp:wrapPolygon>
          </wp:wrapTight>
          <wp:docPr id="2" name="Picture 2" descr="C:\Users\876.clinic\Desktop\Astria_Logos\AH_Health_Center_Inline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76.clinic\Desktop\Astria_Logos\AH_Health_Center_Inline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044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0A00"/>
    <w:multiLevelType w:val="hybridMultilevel"/>
    <w:tmpl w:val="BE2E9AAE"/>
    <w:lvl w:ilvl="0" w:tplc="5F58285E">
      <w:start w:val="1"/>
      <w:numFmt w:val="lowerLetter"/>
      <w:lvlText w:val="%1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A0838"/>
    <w:multiLevelType w:val="hybridMultilevel"/>
    <w:tmpl w:val="36386C56"/>
    <w:lvl w:ilvl="0" w:tplc="04090019">
      <w:start w:val="1"/>
      <w:numFmt w:val="lowerLetter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2C"/>
    <w:rsid w:val="00F06F2C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D2A5"/>
  <w15:chartTrackingRefBased/>
  <w15:docId w15:val="{A77F853E-B345-46EE-B2E0-58BC3AE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2C"/>
    <w:pPr>
      <w:spacing w:after="5" w:line="249" w:lineRule="auto"/>
      <w:ind w:left="361" w:hanging="351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F2C"/>
    <w:pPr>
      <w:keepNext/>
      <w:keepLines/>
      <w:pBdr>
        <w:bottom w:val="single" w:sz="4" w:space="1" w:color="5B9BD5" w:themeColor="accent1"/>
      </w:pBdr>
      <w:spacing w:before="400" w:after="4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6F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F2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0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2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2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hhs.gov/pove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Gabbard-Eells</dc:creator>
  <cp:keywords/>
  <dc:description/>
  <cp:lastModifiedBy>Heather Gabbard-Eells</cp:lastModifiedBy>
  <cp:revision>1</cp:revision>
  <dcterms:created xsi:type="dcterms:W3CDTF">2019-04-23T20:39:00Z</dcterms:created>
  <dcterms:modified xsi:type="dcterms:W3CDTF">2019-04-23T20:48:00Z</dcterms:modified>
</cp:coreProperties>
</file>